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C6D1" w14:textId="3236580C" w:rsidR="00DA63EC" w:rsidRPr="00DA63EC" w:rsidRDefault="009F30C2" w:rsidP="002035D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Liiklusseaduse s</w:t>
      </w:r>
      <w:r w:rsidR="00DA63EC" w:rsidRPr="00DA63EC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eletuskirja lisa 1</w:t>
      </w:r>
    </w:p>
    <w:p w14:paraId="2A35C6D2" w14:textId="77777777" w:rsidR="00DA63EC" w:rsidRPr="00DA63EC" w:rsidRDefault="00DA63EC" w:rsidP="00203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A35C6D3" w14:textId="6F9E85F5" w:rsidR="00DA63EC" w:rsidRPr="00DA63EC" w:rsidRDefault="00DA63EC" w:rsidP="00925D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DA63EC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Liiklusseaduse muutmise seaduse eelnõu ja Euroopa Parlamendi ja nõukogu direktiiv</w:t>
      </w:r>
      <w:r w:rsidR="008058A9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i</w:t>
      </w:r>
      <w:r w:rsidRPr="00DA63EC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 2023/2661/EL, millega muudetakse direktiivi 2010/40/EL, </w:t>
      </w:r>
      <w:r w:rsidRPr="00DA63E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mis käsitleb raamistikku intelligentsete transpordisüsteemide kasutuselevõtmiseks maanteetranspordis ja liideste jaoks teiste transpordiliikidega</w:t>
      </w:r>
      <w:r w:rsidR="000906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,</w:t>
      </w:r>
      <w:r w:rsidRPr="00DA63E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 xml:space="preserve"> vastavustabel</w:t>
      </w:r>
    </w:p>
    <w:p w14:paraId="2A35C6D4" w14:textId="77777777" w:rsidR="00DA63EC" w:rsidRPr="00DA63EC" w:rsidRDefault="00DA63EC" w:rsidP="00203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A35C6D6" w14:textId="77777777" w:rsidR="00DA63EC" w:rsidRPr="00DA63EC" w:rsidRDefault="00DA63EC" w:rsidP="002035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tbl>
      <w:tblPr>
        <w:tblStyle w:val="TableGridLight1"/>
        <w:tblpPr w:leftFromText="141" w:rightFromText="141" w:vertAnchor="text" w:horzAnchor="margin" w:tblpXSpec="center" w:tblpY="16"/>
        <w:tblW w:w="10632" w:type="dxa"/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3684"/>
        <w:gridCol w:w="3551"/>
      </w:tblGrid>
      <w:tr w:rsidR="00DA63EC" w:rsidRPr="00DA63EC" w14:paraId="2A35C6DD" w14:textId="77777777" w:rsidTr="0039498C">
        <w:trPr>
          <w:trHeight w:val="300"/>
        </w:trPr>
        <w:tc>
          <w:tcPr>
            <w:tcW w:w="1696" w:type="dxa"/>
            <w:vMerge w:val="restart"/>
          </w:tcPr>
          <w:p w14:paraId="2A35C6D7" w14:textId="0EA59EF7" w:rsidR="00DA63EC" w:rsidRPr="00DA63EC" w:rsidRDefault="00DA63EC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ELi direktiivi norm</w:t>
            </w:r>
          </w:p>
          <w:p w14:paraId="2A35C6D8" w14:textId="394F7351" w:rsidR="00DA63EC" w:rsidRPr="00DA63EC" w:rsidRDefault="00DA63EC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</w:t>
            </w:r>
            <w:r w:rsidR="0080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</w:t>
            </w: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rtikkel, lõige, punkt)</w:t>
            </w:r>
          </w:p>
        </w:tc>
        <w:tc>
          <w:tcPr>
            <w:tcW w:w="1701" w:type="dxa"/>
            <w:vMerge w:val="restart"/>
          </w:tcPr>
          <w:p w14:paraId="2A35C6D9" w14:textId="5533D4CF" w:rsidR="00DA63EC" w:rsidRPr="00DA63EC" w:rsidRDefault="00DA63EC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ELi direktiivi normi ülevõtmise kohustus (jah /ei/valikuline)</w:t>
            </w:r>
          </w:p>
        </w:tc>
        <w:tc>
          <w:tcPr>
            <w:tcW w:w="3684" w:type="dxa"/>
          </w:tcPr>
          <w:p w14:paraId="2A35C6DA" w14:textId="3CEC4CF7" w:rsidR="00DA63EC" w:rsidRPr="00DA63EC" w:rsidRDefault="00DA63EC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ELi direktiivi normi sisuliseks rakendamiseks kehtestatavad riigisisesed õigusaktid</w:t>
            </w:r>
            <w:r w:rsidR="003C0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3551" w:type="dxa"/>
            <w:vMerge w:val="restart"/>
          </w:tcPr>
          <w:p w14:paraId="2A35C6DC" w14:textId="235E0158" w:rsidR="00DA63EC" w:rsidRPr="00DA63EC" w:rsidRDefault="00DA63EC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Kommentaarid</w:t>
            </w:r>
            <w:r w:rsidR="00BB3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ja k</w:t>
            </w: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ooskõlla viimise tähtaeg</w:t>
            </w:r>
          </w:p>
        </w:tc>
      </w:tr>
      <w:tr w:rsidR="00BE6AE4" w:rsidRPr="00DA63EC" w14:paraId="2A35C6E3" w14:textId="77777777" w:rsidTr="0039498C">
        <w:trPr>
          <w:trHeight w:val="300"/>
        </w:trPr>
        <w:tc>
          <w:tcPr>
            <w:tcW w:w="1696" w:type="dxa"/>
            <w:vMerge/>
          </w:tcPr>
          <w:p w14:paraId="2A35C6DE" w14:textId="77777777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</w:tcPr>
          <w:p w14:paraId="2A35C6DF" w14:textId="77777777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4" w:type="dxa"/>
          </w:tcPr>
          <w:p w14:paraId="2A35C6E1" w14:textId="1ABF1010" w:rsidR="00BE6AE4" w:rsidRPr="00DA63EC" w:rsidRDefault="003C0317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  <w:r w:rsidR="00BE6AE4"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aragrahv, lõige, punkt</w:t>
            </w:r>
          </w:p>
        </w:tc>
        <w:tc>
          <w:tcPr>
            <w:tcW w:w="3551" w:type="dxa"/>
            <w:vMerge/>
          </w:tcPr>
          <w:p w14:paraId="2A35C6E2" w14:textId="77777777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E6AE4" w:rsidRPr="00DA63EC" w14:paraId="2A35C701" w14:textId="77777777" w:rsidTr="0039498C">
        <w:trPr>
          <w:trHeight w:val="300"/>
        </w:trPr>
        <w:tc>
          <w:tcPr>
            <w:tcW w:w="1696" w:type="dxa"/>
          </w:tcPr>
          <w:p w14:paraId="2A35C6E4" w14:textId="13EBF58F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Art 4 Mõisted</w:t>
            </w:r>
          </w:p>
        </w:tc>
        <w:tc>
          <w:tcPr>
            <w:tcW w:w="1701" w:type="dxa"/>
          </w:tcPr>
          <w:p w14:paraId="2A35C6E5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Ei</w:t>
            </w:r>
          </w:p>
        </w:tc>
        <w:tc>
          <w:tcPr>
            <w:tcW w:w="3684" w:type="dxa"/>
          </w:tcPr>
          <w:p w14:paraId="39B2CA05" w14:textId="015D3A98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 Koostalitlusvõime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VÕS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14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l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õige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6.</w:t>
            </w:r>
          </w:p>
          <w:p w14:paraId="1AFCE8DA" w14:textId="3F5C52CE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(4)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Intelligentsete transpordisüsteemide teenus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eelnõu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kohase seadusega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lõige 2</w:t>
            </w: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37DAE29" w14:textId="62464FC7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(14) - </w:t>
            </w:r>
          </w:p>
          <w:p w14:paraId="378F5939" w14:textId="3A53E61C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(18) Standard – TNVS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4 l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õike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 p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unkt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4.</w:t>
            </w:r>
          </w:p>
          <w:p w14:paraId="115EC324" w14:textId="49F31008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(19) Koos</w:t>
            </w:r>
            <w:r w:rsidR="00925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võimelised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intelligentsed transpordisüsteemid või C-ITS-</w:t>
            </w:r>
          </w:p>
          <w:p w14:paraId="7B70F0F9" w14:textId="0C89B918" w:rsidR="00BE6AE4" w:rsidRPr="0039498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(20) C-ITSi teenus </w:t>
            </w:r>
          </w:p>
          <w:p w14:paraId="36D989CD" w14:textId="47E33C57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(21) Andmete käideldavus 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Vabariigi Valitsuse </w:t>
            </w:r>
            <w:r w:rsidR="00FE7467" w:rsidRP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detsembri </w:t>
            </w:r>
            <w:r w:rsidR="00FE7467" w:rsidRP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a määrus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="00FE7467" w:rsidRP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nr 121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„Võrgu- ja infosüsteemide küberturvalisuse nõuded“ § 9 l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õige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</w:t>
            </w:r>
          </w:p>
          <w:p w14:paraId="5288555D" w14:textId="5134F40E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(22) Riiklik juurdepääsupunkt </w:t>
            </w:r>
          </w:p>
          <w:p w14:paraId="533FAD19" w14:textId="2835718F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(23) Juurdepääs andmetele </w:t>
            </w:r>
          </w:p>
          <w:p w14:paraId="4CE06987" w14:textId="3F215E82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(24) Digitaalne mitmeliigilise liikuvuse teenus </w:t>
            </w:r>
          </w:p>
          <w:p w14:paraId="583D4AE4" w14:textId="14AF58AA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(25) Alusteave </w:t>
            </w:r>
          </w:p>
          <w:p w14:paraId="2A35C6F2" w14:textId="3F40EEA0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(26) Põhimaantee –</w:t>
            </w:r>
            <w:r w:rsidR="00925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majandus- ja taristuministri </w:t>
            </w:r>
            <w:r w:rsidR="00FE7467" w:rsidRP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juuni </w:t>
            </w:r>
            <w:r w:rsidR="00FE7467" w:rsidRP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a määrus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="00FE7467" w:rsidRP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nr 72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„Riigiteede liigid ja riigiteede nimekiri“ §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l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õige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</w:t>
            </w:r>
          </w:p>
        </w:tc>
        <w:tc>
          <w:tcPr>
            <w:tcW w:w="3551" w:type="dxa"/>
          </w:tcPr>
          <w:p w14:paraId="2A35C6F3" w14:textId="2470791A" w:rsidR="00BE6AE4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 Kasutatud mõiste on Eesti õigusaktis defineeritud.</w:t>
            </w:r>
          </w:p>
          <w:p w14:paraId="714AB72A" w14:textId="2360D423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VÕSis käibel olev mõiste </w:t>
            </w:r>
            <w:r w:rsidR="003949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koostalitusvõime</w:t>
            </w:r>
            <w:r w:rsidR="003949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“</w:t>
            </w: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erineb sisu poolest dir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ektiivis</w:t>
            </w: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sätestatu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st, milles</w:t>
            </w: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on põhirõhk äriprotsesside suutlik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usel vahetada andmeid ning jagada teavet ja teadmisi. VÕSis on põhirõhk digitaalse sisu või digitaalse teenuse võimel toimida koos sellise riist- või tarkvaraga, mis erineb riist- või tarkvarast, millega koos sama liiki sisu või teenust tavaliselt kasutatakse. Vaadates teisi </w:t>
            </w:r>
            <w:proofErr w:type="spellStart"/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VÕS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142 sätete sisu, siis mõiste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koostalitusvõime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“</w:t>
            </w: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definitsioon on tuletatav ja see on direktiivi eesmärgiga kooskõlas.</w:t>
            </w:r>
          </w:p>
          <w:p w14:paraId="2A35C6F4" w14:textId="056A4D1E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(4)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Vastab.</w:t>
            </w:r>
          </w:p>
          <w:p w14:paraId="2A35C6F5" w14:textId="489BB79F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(14) Ei ole kirjeldatud</w:t>
            </w:r>
            <w:r w:rsidR="00E156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ning mõistest ei võeta üle, kuna mõiste on defineeritud direktiivis üksnes re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egli</w:t>
            </w:r>
            <w:r w:rsidR="00E156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kontekstis ning on kitsalt ja spetsiifiliselt määratletud mõistega, mille funktsiooni on võimalik täita </w:t>
            </w:r>
            <w:r w:rsidR="002035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mõistet</w:t>
            </w:r>
            <w:r w:rsidR="00E156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defineerimata.</w:t>
            </w:r>
          </w:p>
          <w:p w14:paraId="2A35C6F6" w14:textId="461F7A0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(18) Kasutatud mõiste on Eesti õigusaktis defineeritud.</w:t>
            </w:r>
          </w:p>
          <w:p w14:paraId="2A35C6F7" w14:textId="7049CA30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(19) Mõiste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võetakse üle ning sätestatakse eelnõu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</w:t>
            </w:r>
            <w:r w:rsidR="00EC3A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lisatavas 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EC3A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õikes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25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A35C6F8" w14:textId="06CAB0F2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(20) 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Mõiste</w:t>
            </w:r>
            <w:r w:rsidR="00EC3A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võta üle, kuna võetakse üle koostöiste intelligentsed transpordisüsteemide mõiste ning 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selle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mõiste puhul on tegemist üksnes teenusega, mille </w:t>
            </w:r>
            <w:r w:rsid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funktsiooni on võimalik täita seda defineerimata.</w:t>
            </w:r>
          </w:p>
          <w:p w14:paraId="2A35C6F9" w14:textId="752E00B8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(21) Mõiste definitsioon määruses „Võrgu- ja infosüsteemide küberturvalisuse nõuded“ erineb direktiivi definitsioonist.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Direktiivi mõiste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üle võt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ole vaja, kuna </w:t>
            </w:r>
            <w:r w:rsidRPr="005E2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direktiivi eesmärke saab täita ka mõistet üle võtmata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A35C6FA" w14:textId="14CCDDCC" w:rsidR="00BE6AE4" w:rsidRPr="00DB615B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(22) 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Direktiivi mõiste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üle võ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ole va</w:t>
            </w:r>
            <w:r w:rsidR="002035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kuna direktiivi eesmärke saab täita ka mõistet üle võtmata.</w:t>
            </w:r>
          </w:p>
          <w:p w14:paraId="2A35C6FB" w14:textId="0F23A676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(23) 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Direktiivi mõiste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üle võt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ole vaja, kuna direktiivi eesmärke saab täita ka mõistet üle võtmata.</w:t>
            </w:r>
          </w:p>
          <w:p w14:paraId="2A35C6FC" w14:textId="3D98E907" w:rsidR="00BE6AE4" w:rsidRPr="0039498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(24) 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Direktiivi mõiste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üle võt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ole vaja, kuna direktiivi eesmärke saab täita ka mõistet üle võtmata.</w:t>
            </w:r>
          </w:p>
          <w:p w14:paraId="2A35C6FD" w14:textId="252040B2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(25) 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Direktiivi mõiste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 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üle võt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</w:t>
            </w:r>
            <w:r w:rsidR="00DB615B" w:rsidRPr="00DB61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ole vaja, kuna direktiivi eesmärke saab täita ka mõistet üle võtmata.</w:t>
            </w:r>
          </w:p>
          <w:p w14:paraId="2A35C6FE" w14:textId="34B2B8C5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(26) Kasutatud mõiste on Eesti õigusaktis defineeritud.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ektiivi mõiste on lai</w:t>
            </w:r>
            <w:r w:rsidR="003949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kui 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viidatud Eesti määruses</w:t>
            </w:r>
            <w:r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mis on Eesti mõttes asjakohasem.</w:t>
            </w:r>
          </w:p>
          <w:p w14:paraId="2A35C6FF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35C700" w14:textId="2F03BDED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Kasutatud mõisted on Eesti õigusaktides osaliselt defineeritud. Mõistete ülevõtmine ei ole liikmesriikidele kohustuslik.</w:t>
            </w:r>
          </w:p>
        </w:tc>
      </w:tr>
      <w:tr w:rsidR="00BE6AE4" w:rsidRPr="00DA63EC" w14:paraId="2A35C707" w14:textId="77777777" w:rsidTr="0039498C">
        <w:trPr>
          <w:trHeight w:val="300"/>
        </w:trPr>
        <w:tc>
          <w:tcPr>
            <w:tcW w:w="1696" w:type="dxa"/>
          </w:tcPr>
          <w:p w14:paraId="2A35C702" w14:textId="080C1BBB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Art 4aTööpro</w:t>
            </w:r>
            <w:r w:rsidR="0039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gramm</w:t>
            </w:r>
          </w:p>
        </w:tc>
        <w:tc>
          <w:tcPr>
            <w:tcW w:w="1701" w:type="dxa"/>
          </w:tcPr>
          <w:p w14:paraId="2A35C703" w14:textId="77777777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Ei</w:t>
            </w:r>
          </w:p>
        </w:tc>
        <w:tc>
          <w:tcPr>
            <w:tcW w:w="3684" w:type="dxa"/>
          </w:tcPr>
          <w:p w14:paraId="2A35C705" w14:textId="2A6D1841" w:rsidR="00BE6AE4" w:rsidRPr="00DA63EC" w:rsidRDefault="00A80239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551" w:type="dxa"/>
          </w:tcPr>
          <w:p w14:paraId="2A35C706" w14:textId="0CEAC6C8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Art 4a sätestab Euroopa Komisjoni õigus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võtta direktiivi alusel </w:t>
            </w:r>
            <w:r w:rsidR="00A4732F"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vastu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hiljem loodud rakendusakt. Deklaratiivne säte, ei vaja ülevõtmist.</w:t>
            </w:r>
          </w:p>
        </w:tc>
      </w:tr>
      <w:tr w:rsidR="00BE6AE4" w:rsidRPr="00DA63EC" w14:paraId="2A35C70F" w14:textId="77777777" w:rsidTr="0039498C">
        <w:trPr>
          <w:trHeight w:val="300"/>
        </w:trPr>
        <w:tc>
          <w:tcPr>
            <w:tcW w:w="1696" w:type="dxa"/>
          </w:tcPr>
          <w:p w14:paraId="2B46E002" w14:textId="3C11C81D" w:rsidR="0039498C" w:rsidRDefault="00BE6AE4" w:rsidP="00203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6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Art 5 </w:t>
            </w:r>
            <w:proofErr w:type="spellStart"/>
            <w:r w:rsidRPr="00DA6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Spetsifika</w:t>
            </w:r>
            <w:r w:rsidR="00203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 w:rsidR="003949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DB40427" w14:textId="3E78C131" w:rsidR="0039498C" w:rsidRDefault="00BE6AE4" w:rsidP="00203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6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sioonide</w:t>
            </w:r>
            <w:proofErr w:type="spellEnd"/>
            <w:r w:rsidRPr="00DA6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kohaldamine intelligentsete transpordi</w:t>
            </w:r>
            <w:r w:rsidR="003949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DA6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süsteemide kasutusele</w:t>
            </w:r>
            <w:r w:rsidR="003949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2A35C708" w14:textId="7F551282" w:rsidR="00BE6AE4" w:rsidRPr="00DA63EC" w:rsidRDefault="00BE6AE4" w:rsidP="00203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võtu suhtes</w:t>
            </w:r>
          </w:p>
        </w:tc>
        <w:tc>
          <w:tcPr>
            <w:tcW w:w="1701" w:type="dxa"/>
          </w:tcPr>
          <w:p w14:paraId="2A35C709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 Jah</w:t>
            </w:r>
          </w:p>
          <w:p w14:paraId="2A35C70A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 Jah</w:t>
            </w:r>
          </w:p>
          <w:p w14:paraId="2A35C70B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 Jah</w:t>
            </w:r>
          </w:p>
        </w:tc>
        <w:tc>
          <w:tcPr>
            <w:tcW w:w="3684" w:type="dxa"/>
          </w:tcPr>
          <w:p w14:paraId="2BB08FB5" w14:textId="4CDED900" w:rsidR="00BE6AE4" w:rsidRPr="007F21F8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Eelnõ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ukohase seadusega </w:t>
            </w:r>
            <w:proofErr w:type="spellStart"/>
            <w:r w:rsidR="00B96390"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="00B96390"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</w:t>
            </w:r>
            <w:r w:rsidR="002035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2D20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lisatavad</w:t>
            </w:r>
            <w:r w:rsidR="0009062E"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õiked</w:t>
            </w:r>
            <w:r w:rsidRPr="002D20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 ja 5 – sätestatud kohustus</w:t>
            </w:r>
            <w:r w:rsidRPr="007F21F8">
              <w:t xml:space="preserve">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intelligentse transpordisüsteemi ja teenuse väljatöötamisel ning kasutuselevõtmisel kohaldada nii kõnealust direktiivi kui 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ka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selle alusel kehtestatavaid spetsifikatsioone.</w:t>
            </w:r>
          </w:p>
          <w:p w14:paraId="2F85DE35" w14:textId="19D815D2" w:rsidR="00BE6AE4" w:rsidRPr="007F21F8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(2) </w:t>
            </w:r>
            <w:proofErr w:type="spellStart"/>
            <w:r w:rsidR="00B96390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õige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25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kohustus teha asjaomaste sidusrühmadega koostööd, kuni prioriteetsetes valdkondades ei ole vastu võetud spetsifikatsioone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A35C70D" w14:textId="3727ACB5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(3) </w:t>
            </w:r>
            <w:proofErr w:type="spellStart"/>
            <w:r w:rsidR="00B96390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õige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25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kohustus teha koostööd teiste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liikmesriikidega ja sidusrühmadega vastu võetud spetsifikatsioonide rakendamise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l.</w:t>
            </w:r>
          </w:p>
        </w:tc>
        <w:tc>
          <w:tcPr>
            <w:tcW w:w="3551" w:type="dxa"/>
          </w:tcPr>
          <w:p w14:paraId="14C59994" w14:textId="55D1C7B0" w:rsidR="00BE6AE4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(1) </w:t>
            </w:r>
            <w:r w:rsidRPr="002759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Kõnealune sätte võetakse üle ning sätestatakse eelnõu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kohase </w:t>
            </w:r>
            <w:r w:rsidR="00CD0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seadusega </w:t>
            </w:r>
            <w:proofErr w:type="spellStart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759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2759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90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lisatavates 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lõigetes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ja 5, milles viidatakse nõuetele ja tingimustele.</w:t>
            </w:r>
          </w:p>
          <w:p w14:paraId="2A35C70E" w14:textId="38E22352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(2) (3) Sätted võetakse üle 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eelnõukohase seadusega </w:t>
            </w:r>
            <w:proofErr w:type="spellStart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Pr="002D20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lõikega </w:t>
            </w:r>
            <w:r w:rsidR="00925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E6AE4" w:rsidRPr="00DA63EC" w14:paraId="2A35C71B" w14:textId="77777777" w:rsidTr="0039498C">
        <w:trPr>
          <w:trHeight w:val="300"/>
        </w:trPr>
        <w:tc>
          <w:tcPr>
            <w:tcW w:w="1696" w:type="dxa"/>
          </w:tcPr>
          <w:p w14:paraId="2A35C710" w14:textId="5EC407B9" w:rsidR="00BE6AE4" w:rsidRPr="00DA63EC" w:rsidRDefault="00BE6AE4" w:rsidP="00203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Art 6 </w:t>
            </w:r>
            <w:proofErr w:type="spellStart"/>
            <w:r w:rsidRPr="00DA6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Spetsifika</w:t>
            </w:r>
            <w:r w:rsidR="002035D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3949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A6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sioonid</w:t>
            </w:r>
            <w:proofErr w:type="spellEnd"/>
          </w:p>
        </w:tc>
        <w:tc>
          <w:tcPr>
            <w:tcW w:w="1701" w:type="dxa"/>
          </w:tcPr>
          <w:p w14:paraId="2A35C711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(5) Valikuline</w:t>
            </w:r>
          </w:p>
          <w:p w14:paraId="2A35C712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(6) Ei</w:t>
            </w:r>
          </w:p>
          <w:p w14:paraId="2A35C713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(8) Ei</w:t>
            </w:r>
          </w:p>
        </w:tc>
        <w:tc>
          <w:tcPr>
            <w:tcW w:w="3684" w:type="dxa"/>
          </w:tcPr>
          <w:p w14:paraId="053BC1D6" w14:textId="28F5E14D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(5) </w:t>
            </w:r>
            <w:proofErr w:type="spellStart"/>
            <w:r w:rsidR="00B96390"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LS</w:t>
            </w:r>
            <w:r w:rsidR="00B96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</w:t>
            </w:r>
            <w:proofErr w:type="spellEnd"/>
            <w:r w:rsidR="00B96390"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t-EE"/>
              </w:rPr>
              <w:t>1</w:t>
            </w: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A4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lisatav </w:t>
            </w: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</w:t>
            </w:r>
            <w:r w:rsidR="00FE7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õige</w:t>
            </w: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3</w:t>
            </w:r>
            <w:r w:rsidR="00B96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  <w:p w14:paraId="6087EF68" w14:textId="1A00CA54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(6) -</w:t>
            </w:r>
          </w:p>
          <w:p w14:paraId="2A35C717" w14:textId="0C7AD0D1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(8) -</w:t>
            </w:r>
          </w:p>
        </w:tc>
        <w:tc>
          <w:tcPr>
            <w:tcW w:w="3551" w:type="dxa"/>
          </w:tcPr>
          <w:p w14:paraId="2A35C718" w14:textId="70A3AF8E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(5) LS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6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sätestab valdkonna eest vastutava ministri õigus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kehtestada määrusega intelligentsete transpordisüsteemide kasutuselevõtmise ja arendamise tingimused ja kord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kui Euroopa Komisjon võtab vastu vastava spetsifikatsiooni.</w:t>
            </w:r>
          </w:p>
          <w:p w14:paraId="2A35C719" w14:textId="1049FE82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(6) Euroopa Komisjonil on õigus võtta vastu spetsifikatsioon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direktiivi alusel. Ei vaja ülevõtmist. Art 6 lg 6 puudutab Euroopa Komisjoni tööd ning reguleerib spetsifikatsioonidega seotud normide sisu.</w:t>
            </w:r>
          </w:p>
          <w:p w14:paraId="2A35C71A" w14:textId="733FB48F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(8) Euroopa Komisjoni õigus võtta vastu spetsifikatsioon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delegeeritud õigusaktide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ga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Sä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ei ole vaja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üle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võt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ta.</w:t>
            </w:r>
          </w:p>
        </w:tc>
      </w:tr>
      <w:tr w:rsidR="00BE6AE4" w:rsidRPr="00DA63EC" w14:paraId="2A35C724" w14:textId="77777777" w:rsidTr="0039498C">
        <w:trPr>
          <w:trHeight w:val="300"/>
        </w:trPr>
        <w:tc>
          <w:tcPr>
            <w:tcW w:w="1696" w:type="dxa"/>
          </w:tcPr>
          <w:p w14:paraId="2A35C71C" w14:textId="0F60F94C" w:rsidR="00BE6AE4" w:rsidRPr="00DA63EC" w:rsidRDefault="00BE6AE4" w:rsidP="00203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Art 6a Andmete käideldavus ja intelligentsete transpordisüsteemide teenuste kasutuselevõtt</w:t>
            </w:r>
          </w:p>
        </w:tc>
        <w:tc>
          <w:tcPr>
            <w:tcW w:w="1701" w:type="dxa"/>
          </w:tcPr>
          <w:p w14:paraId="2A35C71D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(1) Jah</w:t>
            </w:r>
          </w:p>
          <w:p w14:paraId="2A35C71E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(2) Jah</w:t>
            </w:r>
          </w:p>
        </w:tc>
        <w:tc>
          <w:tcPr>
            <w:tcW w:w="3684" w:type="dxa"/>
          </w:tcPr>
          <w:p w14:paraId="07ECCC23" w14:textId="1C8FC9C2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</w:t>
            </w:r>
            <w:proofErr w:type="spellStart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80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§ </w:t>
            </w:r>
            <w:r w:rsidR="00A80239" w:rsidRPr="00A80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A80239" w:rsidRPr="00A802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80239" w:rsidRPr="00A80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lisatavad </w:t>
            </w:r>
            <w:r w:rsidR="00A80239" w:rsidRPr="00A80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lõi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ked</w:t>
            </w:r>
            <w:r w:rsidR="00A80239" w:rsidRPr="00A80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ja 5.</w:t>
            </w:r>
          </w:p>
          <w:p w14:paraId="2A35C721" w14:textId="29DA550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(2) </w:t>
            </w:r>
            <w:proofErr w:type="spellStart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B209E" w:rsidRPr="000B2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="000B209E" w:rsidRPr="000B20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0B209E" w:rsidRPr="000B2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lisatavad </w:t>
            </w:r>
            <w:r w:rsidR="000B209E" w:rsidRPr="000B2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lõi</w:t>
            </w:r>
            <w:r w:rsidR="00A473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ked</w:t>
            </w:r>
            <w:r w:rsidR="000B209E" w:rsidRPr="000B2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ja 5.</w:t>
            </w:r>
          </w:p>
        </w:tc>
        <w:tc>
          <w:tcPr>
            <w:tcW w:w="3551" w:type="dxa"/>
          </w:tcPr>
          <w:p w14:paraId="2A35C722" w14:textId="3E63BBFF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</w:t>
            </w:r>
            <w:r w:rsidR="003949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Võetakse üle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6</w:t>
            </w:r>
            <w:r w:rsidRPr="00A802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lisatavate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lõi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getega 4 ja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Direktiivi art 6a eesmär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on, et liikmesriigid tagaksid andmete käideldavuse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A35C723" w14:textId="7B4E1577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(2) Võetakse üle </w:t>
            </w:r>
            <w:proofErr w:type="spellStart"/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6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lisatavate 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lõigetega 4 ja 5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BE6AE4" w:rsidRPr="00DA63EC" w14:paraId="2A35C737" w14:textId="77777777" w:rsidTr="0039498C">
        <w:trPr>
          <w:trHeight w:val="300"/>
        </w:trPr>
        <w:tc>
          <w:tcPr>
            <w:tcW w:w="1696" w:type="dxa"/>
          </w:tcPr>
          <w:p w14:paraId="6551F164" w14:textId="77777777" w:rsidR="003C0317" w:rsidRDefault="00BE6AE4" w:rsidP="00203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Art 7 </w:t>
            </w:r>
          </w:p>
          <w:p w14:paraId="2A35C725" w14:textId="65EFF890" w:rsidR="00BE6AE4" w:rsidRPr="00DA63EC" w:rsidRDefault="00BE6AE4" w:rsidP="00203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III lisa muutmine</w:t>
            </w:r>
          </w:p>
        </w:tc>
        <w:tc>
          <w:tcPr>
            <w:tcW w:w="1701" w:type="dxa"/>
          </w:tcPr>
          <w:p w14:paraId="2A35C726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(1) Ei</w:t>
            </w:r>
          </w:p>
          <w:p w14:paraId="2A35C727" w14:textId="2034546D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(1a) Ei</w:t>
            </w:r>
          </w:p>
          <w:p w14:paraId="2A35C728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(2) Ei</w:t>
            </w:r>
          </w:p>
          <w:p w14:paraId="2A35C729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(3) Ei</w:t>
            </w:r>
          </w:p>
          <w:p w14:paraId="2A35C72A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(4) Ei</w:t>
            </w:r>
          </w:p>
          <w:p w14:paraId="2A35C72B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(5) Ei</w:t>
            </w:r>
          </w:p>
        </w:tc>
        <w:tc>
          <w:tcPr>
            <w:tcW w:w="3684" w:type="dxa"/>
          </w:tcPr>
          <w:p w14:paraId="5A3F22F5" w14:textId="77777777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- </w:t>
            </w:r>
          </w:p>
          <w:p w14:paraId="432CF51C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(1a) - </w:t>
            </w:r>
          </w:p>
          <w:p w14:paraId="2EC4006D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(1b) - </w:t>
            </w:r>
          </w:p>
          <w:p w14:paraId="3051137D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(1c) - </w:t>
            </w:r>
          </w:p>
          <w:p w14:paraId="31657D99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(2) - </w:t>
            </w:r>
          </w:p>
          <w:p w14:paraId="1D903299" w14:textId="16FD2B5F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 -</w:t>
            </w:r>
          </w:p>
          <w:p w14:paraId="3FF1CD28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(4) - </w:t>
            </w:r>
          </w:p>
          <w:p w14:paraId="2A35C734" w14:textId="3A584C80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(5) - </w:t>
            </w:r>
          </w:p>
        </w:tc>
        <w:tc>
          <w:tcPr>
            <w:tcW w:w="3551" w:type="dxa"/>
          </w:tcPr>
          <w:p w14:paraId="2A35C735" w14:textId="774D80A6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 reguleerib Euroopa Komisjoni töökorraldust, sealhulgas 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omisjoni õigust võtta vastu delegeeritud õigusakt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äte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ole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vaja üle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võt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ta.</w:t>
            </w:r>
          </w:p>
          <w:p w14:paraId="2A35C736" w14:textId="77777777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6AE4" w:rsidRPr="00DA63EC" w14:paraId="2A35C743" w14:textId="77777777" w:rsidTr="0039498C">
        <w:trPr>
          <w:trHeight w:val="300"/>
        </w:trPr>
        <w:tc>
          <w:tcPr>
            <w:tcW w:w="1696" w:type="dxa"/>
          </w:tcPr>
          <w:p w14:paraId="2A35C738" w14:textId="0CBA0E0E" w:rsidR="00BE6AE4" w:rsidRPr="00DA63EC" w:rsidRDefault="00BE6AE4" w:rsidP="00203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Art 7a Ajutised meetmed</w:t>
            </w:r>
          </w:p>
        </w:tc>
        <w:tc>
          <w:tcPr>
            <w:tcW w:w="1701" w:type="dxa"/>
          </w:tcPr>
          <w:p w14:paraId="2A35C739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(1) Ei</w:t>
            </w:r>
          </w:p>
          <w:p w14:paraId="2A35C73A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(2) Ei</w:t>
            </w:r>
          </w:p>
          <w:p w14:paraId="2A35C73B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(3) Ei</w:t>
            </w:r>
          </w:p>
          <w:p w14:paraId="2A35C73C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(4) Ei</w:t>
            </w:r>
          </w:p>
        </w:tc>
        <w:tc>
          <w:tcPr>
            <w:tcW w:w="3684" w:type="dxa"/>
          </w:tcPr>
          <w:p w14:paraId="0B754AC1" w14:textId="77777777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- </w:t>
            </w:r>
          </w:p>
          <w:p w14:paraId="2DC18D0F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(2) - </w:t>
            </w:r>
          </w:p>
          <w:p w14:paraId="754D32BB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(3) - </w:t>
            </w:r>
          </w:p>
          <w:p w14:paraId="2A35C741" w14:textId="2DA02D0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(4) - </w:t>
            </w:r>
          </w:p>
        </w:tc>
        <w:tc>
          <w:tcPr>
            <w:tcW w:w="3551" w:type="dxa"/>
          </w:tcPr>
          <w:p w14:paraId="2A35C742" w14:textId="35458CF2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kohaselt võib Euroopa Komisjon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hädaolukorras oma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algatusel või liikmesriigi taotlusel võtta viivitamat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 vastu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kohaldatavaid õigusakte. Kohustused liikmesriigile puuduvad, 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etõttu ei ole sätet vaja üle võtta.</w:t>
            </w:r>
          </w:p>
        </w:tc>
      </w:tr>
      <w:tr w:rsidR="00BE6AE4" w:rsidRPr="00DA63EC" w14:paraId="2A35C74C" w14:textId="77777777" w:rsidTr="0039498C">
        <w:trPr>
          <w:trHeight w:val="300"/>
        </w:trPr>
        <w:tc>
          <w:tcPr>
            <w:tcW w:w="1696" w:type="dxa"/>
          </w:tcPr>
          <w:p w14:paraId="2A35C744" w14:textId="486DCF3E" w:rsidR="00BE6AE4" w:rsidRPr="00DA63EC" w:rsidRDefault="00BE6AE4" w:rsidP="00203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3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Art 8 Standardid</w:t>
            </w:r>
          </w:p>
        </w:tc>
        <w:tc>
          <w:tcPr>
            <w:tcW w:w="1701" w:type="dxa"/>
          </w:tcPr>
          <w:p w14:paraId="2A35C745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(1) Ei</w:t>
            </w:r>
          </w:p>
          <w:p w14:paraId="2A35C746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(2) Ei</w:t>
            </w:r>
          </w:p>
        </w:tc>
        <w:tc>
          <w:tcPr>
            <w:tcW w:w="3684" w:type="dxa"/>
          </w:tcPr>
          <w:p w14:paraId="2BAAFF5D" w14:textId="580AEA56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</w:t>
            </w:r>
            <w:proofErr w:type="spellStart"/>
            <w:r w:rsidR="00254394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54394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="00254394" w:rsidRPr="000B20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254394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lisatavad 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lõi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ked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 ja 5.</w:t>
            </w:r>
          </w:p>
          <w:p w14:paraId="2A35C749" w14:textId="0BFDCEBA" w:rsidR="00BE6AE4" w:rsidRPr="00BE6AE4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(2) </w:t>
            </w:r>
            <w:proofErr w:type="spellStart"/>
            <w:r w:rsidR="00254394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54394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="00254394" w:rsidRPr="000B20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254394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lisatavad 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lõi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ked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 ja 5.</w:t>
            </w:r>
          </w:p>
        </w:tc>
        <w:tc>
          <w:tcPr>
            <w:tcW w:w="3551" w:type="dxa"/>
          </w:tcPr>
          <w:p w14:paraId="2A35C74A" w14:textId="13679CBC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</w:t>
            </w:r>
            <w:bookmarkStart w:id="0" w:name="_Hlk180399394"/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Eelnõus määratakse nõuded ja kohustused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andmevaldajatele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Tehnilised juhendid lisatakse 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riikliku juurdepääsupuntki juhenditesse.</w:t>
            </w:r>
            <w:bookmarkEnd w:id="0"/>
          </w:p>
          <w:p w14:paraId="2A35C74B" w14:textId="0492693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bookmarkStart w:id="1" w:name="_Hlk180400042"/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</w:t>
            </w:r>
            <w:bookmarkEnd w:id="1"/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Eelnõus määratakse nõuded ja kohustused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andmevaldajatele</w:t>
            </w:r>
            <w:r w:rsidR="002543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Tehnilised juhendid lisatakse riikliku juurdepääsupuntki juhenditesse.</w:t>
            </w:r>
          </w:p>
        </w:tc>
      </w:tr>
      <w:tr w:rsidR="00BE6AE4" w:rsidRPr="00DA63EC" w14:paraId="2A35C75C" w14:textId="77777777" w:rsidTr="0039498C">
        <w:trPr>
          <w:trHeight w:val="300"/>
        </w:trPr>
        <w:tc>
          <w:tcPr>
            <w:tcW w:w="1696" w:type="dxa"/>
          </w:tcPr>
          <w:p w14:paraId="2A35C74D" w14:textId="2387326F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Art 10 Andmekaitset ja eraelu puutumatust käsitlevad normid</w:t>
            </w:r>
          </w:p>
        </w:tc>
        <w:tc>
          <w:tcPr>
            <w:tcW w:w="1701" w:type="dxa"/>
          </w:tcPr>
          <w:p w14:paraId="2A35C74E" w14:textId="041393C1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(1)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Jah</w:t>
            </w:r>
          </w:p>
          <w:p w14:paraId="2A35C74F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(2) Ei</w:t>
            </w:r>
          </w:p>
          <w:p w14:paraId="2A35C750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(3) Valikuline</w:t>
            </w:r>
          </w:p>
          <w:p w14:paraId="2A35C751" w14:textId="3CD2967B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(4) Valikuline</w:t>
            </w:r>
          </w:p>
        </w:tc>
        <w:tc>
          <w:tcPr>
            <w:tcW w:w="3684" w:type="dxa"/>
          </w:tcPr>
          <w:p w14:paraId="635A0AD0" w14:textId="70715FA6" w:rsidR="00BE6AE4" w:rsidRPr="007F21F8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</w:t>
            </w:r>
            <w:proofErr w:type="spellStart"/>
            <w:r w:rsidR="00B96390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Pr="000B20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õige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4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05DB26B" w14:textId="45267C82" w:rsidR="00BE6AE4" w:rsidRPr="007F21F8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 -</w:t>
            </w:r>
          </w:p>
          <w:p w14:paraId="75927913" w14:textId="64CA29E0" w:rsidR="00BE6AE4" w:rsidRPr="000B209E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</w:t>
            </w:r>
            <w:r w:rsidRPr="000B2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96390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lisatav</w:t>
            </w:r>
            <w:r w:rsidR="008E0121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õige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5</w:t>
            </w:r>
            <w:r w:rsidR="000B2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F3BD5AD" w14:textId="0E0AF374" w:rsidR="00BE6AE4" w:rsidRPr="000B209E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(4) </w:t>
            </w:r>
            <w:proofErr w:type="spellStart"/>
            <w:r w:rsidR="00B96390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="00B96390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E01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õige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5</w:t>
            </w:r>
            <w:r w:rsidR="000B20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A35C757" w14:textId="77777777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551" w:type="dxa"/>
          </w:tcPr>
          <w:p w14:paraId="2A35C758" w14:textId="62676AC2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(1) 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Isikuandmete töötlemise eesmärk sätestatakse </w:t>
            </w:r>
            <w:proofErr w:type="spellStart"/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LSi</w:t>
            </w:r>
            <w:proofErr w:type="spellEnd"/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="00FE7467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="00FE7467" w:rsidRPr="000B20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FE7467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lisatavas </w:t>
            </w:r>
            <w:r w:rsidR="00FE7467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õikes</w:t>
            </w:r>
            <w:r w:rsidR="00FE7467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4</w:t>
            </w:r>
            <w:r w:rsidR="00FE7467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A35C759" w14:textId="1211F298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(2)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Puudutab spetsifikatsioonide väljatöötamist, mis on komisjoni ülesanne.</w:t>
            </w:r>
          </w:p>
          <w:p w14:paraId="2A35C75A" w14:textId="69E63626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(3)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LS</w:t>
            </w:r>
            <w:r w:rsidR="00FE7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B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täiendatakse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õikega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ning andmevaldajale 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sätestatakse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kohustus 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kasutada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isikuandmete töötlemisel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anonüümimist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kui see on tehniliselt teostatav ja andmete töötlemise eesmärki arvestades võimalik.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  <w:p w14:paraId="2A35C75B" w14:textId="38A34D94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(4)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Direktiivi art 10 l</w:t>
            </w:r>
            <w:r w:rsidR="00FE7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4 on valikuline ja sellest tuleneb kaks võimalust. </w:t>
            </w:r>
            <w:r w:rsidRPr="002E0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Oleneb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andmetöötleja </w:t>
            </w:r>
            <w:r w:rsidRPr="002E0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võimest (tehniline) andmeid anonüümida. Teise variandina pakutakse välja pseudonüümimine.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Kuna direktiiv annab kaks varianti olenevalt andmetöötleja võime</w:t>
            </w:r>
            <w:r w:rsidR="005B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, siis kõnealu</w:t>
            </w:r>
            <w:r w:rsidR="005B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e art 10 lg 4 on valikuline.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LS</w:t>
            </w:r>
            <w:r w:rsidR="00FE7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B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täiendatakse 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õikega</w:t>
            </w:r>
            <w:r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  <w:r w:rsidR="00FE74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ning andmevaldajale 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sätestatakse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kohustus 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kasutada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isikuandmete töötlemisel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pseudonüümimist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kui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anonüümimine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ole võimalik ning pseudonüümimine on tehniliselt teostatav ja andmetöötluse eesmärke on võimalik saavutada pseudonüümitud andmeid kasutades.</w:t>
            </w:r>
          </w:p>
        </w:tc>
      </w:tr>
      <w:tr w:rsidR="00BE6AE4" w:rsidRPr="00DA63EC" w14:paraId="2A35C762" w14:textId="77777777" w:rsidTr="0039498C">
        <w:trPr>
          <w:trHeight w:val="300"/>
        </w:trPr>
        <w:tc>
          <w:tcPr>
            <w:tcW w:w="1696" w:type="dxa"/>
          </w:tcPr>
          <w:p w14:paraId="569CC5E0" w14:textId="77777777" w:rsidR="003C0317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Art 10a </w:t>
            </w:r>
          </w:p>
          <w:p w14:paraId="2A35C75D" w14:textId="45A1EFD4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ELi C-</w:t>
            </w:r>
            <w:proofErr w:type="spellStart"/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ITSi</w:t>
            </w:r>
            <w:proofErr w:type="spellEnd"/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turvavolituste haldamise süsteem</w:t>
            </w:r>
          </w:p>
        </w:tc>
        <w:tc>
          <w:tcPr>
            <w:tcW w:w="1701" w:type="dxa"/>
          </w:tcPr>
          <w:p w14:paraId="2A35C75E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(1) Ei</w:t>
            </w:r>
          </w:p>
        </w:tc>
        <w:tc>
          <w:tcPr>
            <w:tcW w:w="3684" w:type="dxa"/>
          </w:tcPr>
          <w:p w14:paraId="2A35C760" w14:textId="38B37EF3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- </w:t>
            </w:r>
          </w:p>
        </w:tc>
        <w:tc>
          <w:tcPr>
            <w:tcW w:w="3551" w:type="dxa"/>
          </w:tcPr>
          <w:p w14:paraId="2A35C761" w14:textId="1AE483FA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(1) Direktiivi art 10a sätestab Euroopa Komisjoni kohustusi spetsifikatsioonide vastuvõtmisel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Sätte ülevõtmise vajadus puudub.</w:t>
            </w:r>
          </w:p>
        </w:tc>
      </w:tr>
      <w:tr w:rsidR="00BE6AE4" w:rsidRPr="00DA63EC" w14:paraId="2A35C76C" w14:textId="77777777" w:rsidTr="0039498C">
        <w:trPr>
          <w:trHeight w:val="300"/>
        </w:trPr>
        <w:tc>
          <w:tcPr>
            <w:tcW w:w="1696" w:type="dxa"/>
          </w:tcPr>
          <w:p w14:paraId="2A35C763" w14:textId="424F3C9D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Art 12 Delegeeritud volituste rakendamine</w:t>
            </w:r>
          </w:p>
        </w:tc>
        <w:tc>
          <w:tcPr>
            <w:tcW w:w="1701" w:type="dxa"/>
          </w:tcPr>
          <w:p w14:paraId="2A35C764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(2) Ei</w:t>
            </w:r>
          </w:p>
          <w:p w14:paraId="2A35C765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(3) Ei</w:t>
            </w:r>
          </w:p>
          <w:p w14:paraId="2A35C766" w14:textId="77777777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(6) Ei</w:t>
            </w:r>
          </w:p>
        </w:tc>
        <w:tc>
          <w:tcPr>
            <w:tcW w:w="3684" w:type="dxa"/>
          </w:tcPr>
          <w:p w14:paraId="502CB68F" w14:textId="77777777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 –</w:t>
            </w:r>
          </w:p>
          <w:p w14:paraId="5E6463D7" w14:textId="77777777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 –</w:t>
            </w:r>
          </w:p>
          <w:p w14:paraId="2A35C76A" w14:textId="4C570B6B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(6) -</w:t>
            </w:r>
          </w:p>
        </w:tc>
        <w:tc>
          <w:tcPr>
            <w:tcW w:w="3551" w:type="dxa"/>
          </w:tcPr>
          <w:p w14:paraId="2A35C76B" w14:textId="7379C598" w:rsidR="00BE6AE4" w:rsidRPr="00DA63EC" w:rsidRDefault="00BE6AE4" w:rsidP="002035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Art 12 reguleerib Euroopa Komisjoni õigust võtta vastu delegeeritud akte, selle õiguse kehtivusaega, Euroopa Parlamendi ja nõukogu õigust volitused </w:t>
            </w:r>
            <w:r w:rsidRPr="00D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Euroopa Komisjonilt ära võtta ja delegeeritud õigusaktide jõustumise tingimusi. Sätte ülevõtmise kohustust ei ole.</w:t>
            </w:r>
          </w:p>
        </w:tc>
      </w:tr>
      <w:tr w:rsidR="00BE6AE4" w:rsidRPr="00DA63EC" w14:paraId="2A35C778" w14:textId="77777777" w:rsidTr="0039498C">
        <w:trPr>
          <w:trHeight w:val="300"/>
        </w:trPr>
        <w:tc>
          <w:tcPr>
            <w:tcW w:w="1696" w:type="dxa"/>
          </w:tcPr>
          <w:p w14:paraId="2A35C76D" w14:textId="0542508F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Art 15 Komitee</w:t>
            </w:r>
            <w:r w:rsidR="003C0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menetlus</w:t>
            </w:r>
            <w:r w:rsidR="003C0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ed</w:t>
            </w:r>
          </w:p>
        </w:tc>
        <w:tc>
          <w:tcPr>
            <w:tcW w:w="1701" w:type="dxa"/>
          </w:tcPr>
          <w:p w14:paraId="2A35C76E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 Ei</w:t>
            </w:r>
          </w:p>
          <w:p w14:paraId="2A35C76F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 Ei</w:t>
            </w:r>
          </w:p>
          <w:p w14:paraId="2A35C770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 Ei</w:t>
            </w:r>
          </w:p>
          <w:p w14:paraId="2A35C771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(4) Ei</w:t>
            </w:r>
          </w:p>
        </w:tc>
        <w:tc>
          <w:tcPr>
            <w:tcW w:w="3684" w:type="dxa"/>
            <w:shd w:val="clear" w:color="auto" w:fill="auto"/>
          </w:tcPr>
          <w:p w14:paraId="1471FFD1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 -</w:t>
            </w:r>
          </w:p>
          <w:p w14:paraId="746FB9B5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 -</w:t>
            </w:r>
          </w:p>
          <w:p w14:paraId="7D344B36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 -</w:t>
            </w:r>
          </w:p>
          <w:p w14:paraId="2A35C776" w14:textId="4319BE97" w:rsidR="00BE6AE4" w:rsidRPr="00BE6AE4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(4) -</w:t>
            </w:r>
          </w:p>
        </w:tc>
        <w:tc>
          <w:tcPr>
            <w:tcW w:w="3551" w:type="dxa"/>
          </w:tcPr>
          <w:p w14:paraId="2A35C777" w14:textId="03EDAA08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Art 15 sätestab, et Euroopa Parlamendi ja nõukogu määruse (EL) nr 182/2011 alusel loodud intelligentsete transpordisüsteemide komitee abistab Euroopa Komisjoni 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selles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valdkonnas ning viitab eelmainitud määruse artiklitele 4, 5 ja 8. Määruse artiklid reguleerivad Euroopa Komisjoni nõuandemenetlust, kontrollimenetlust ja viivitamata kohaldatavaid õigusakte. Sätte ülevõtmise vajadus puudub.</w:t>
            </w:r>
          </w:p>
        </w:tc>
      </w:tr>
      <w:tr w:rsidR="00BE6AE4" w:rsidRPr="00DA63EC" w14:paraId="2A35C784" w14:textId="77777777" w:rsidTr="0039498C">
        <w:trPr>
          <w:trHeight w:val="300"/>
        </w:trPr>
        <w:tc>
          <w:tcPr>
            <w:tcW w:w="1696" w:type="dxa"/>
          </w:tcPr>
          <w:p w14:paraId="2A35C779" w14:textId="1EDB051B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Art 17 Aruandlus</w:t>
            </w:r>
          </w:p>
        </w:tc>
        <w:tc>
          <w:tcPr>
            <w:tcW w:w="1701" w:type="dxa"/>
          </w:tcPr>
          <w:p w14:paraId="2A35C77A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 Ei</w:t>
            </w:r>
          </w:p>
          <w:p w14:paraId="2A35C77B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 Ei</w:t>
            </w:r>
          </w:p>
          <w:p w14:paraId="2A35C77C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 Ei</w:t>
            </w:r>
          </w:p>
          <w:p w14:paraId="2A35C77D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(4) Ei</w:t>
            </w:r>
          </w:p>
        </w:tc>
        <w:tc>
          <w:tcPr>
            <w:tcW w:w="3684" w:type="dxa"/>
          </w:tcPr>
          <w:p w14:paraId="75CE92F2" w14:textId="77777777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- </w:t>
            </w:r>
          </w:p>
          <w:p w14:paraId="10E84AD3" w14:textId="77777777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(2) - </w:t>
            </w:r>
          </w:p>
          <w:p w14:paraId="3A8B2C56" w14:textId="77777777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(3) - </w:t>
            </w:r>
          </w:p>
          <w:p w14:paraId="2A35C782" w14:textId="776A1871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(4) -</w:t>
            </w:r>
          </w:p>
        </w:tc>
        <w:tc>
          <w:tcPr>
            <w:tcW w:w="3551" w:type="dxa"/>
          </w:tcPr>
          <w:p w14:paraId="2A35C783" w14:textId="552DBD84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Art 17 on otseselt suunatud Euroopa Komisjoni ja liikmesriigi tegevustele ja sellisena on see otsekohalduv. Artik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lit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ole vaja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gisiseses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õiguses kajasta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E6AE4" w:rsidRPr="00DA63EC" w14:paraId="2A35C78A" w14:textId="77777777" w:rsidTr="0039498C">
        <w:trPr>
          <w:trHeight w:val="300"/>
        </w:trPr>
        <w:tc>
          <w:tcPr>
            <w:tcW w:w="1696" w:type="dxa"/>
          </w:tcPr>
          <w:p w14:paraId="2A35C785" w14:textId="1B7D3770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Art 18a </w:t>
            </w:r>
            <w:proofErr w:type="spellStart"/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Läbivaata</w:t>
            </w:r>
            <w:r w:rsidR="0039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mine</w:t>
            </w:r>
            <w:proofErr w:type="spellEnd"/>
          </w:p>
        </w:tc>
        <w:tc>
          <w:tcPr>
            <w:tcW w:w="1701" w:type="dxa"/>
          </w:tcPr>
          <w:p w14:paraId="2A35C786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684" w:type="dxa"/>
          </w:tcPr>
          <w:p w14:paraId="2A35C788" w14:textId="17F21952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51" w:type="dxa"/>
          </w:tcPr>
          <w:p w14:paraId="2A35C789" w14:textId="71E332CB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Art 18a sätestab, et Euroopa Komisjon võib teha Euroopa Parlamendile ja nõukogule direktiivi muutmis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ettepaneku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tuginedes direktiivi art 17 lg 4 alusel koostatud aruande sisule. Sätte ülevõtmise vajadus puudub.</w:t>
            </w:r>
          </w:p>
        </w:tc>
      </w:tr>
      <w:tr w:rsidR="00BE6AE4" w:rsidRPr="00DA63EC" w14:paraId="2A35C793" w14:textId="77777777" w:rsidTr="0039498C">
        <w:trPr>
          <w:trHeight w:val="300"/>
        </w:trPr>
        <w:tc>
          <w:tcPr>
            <w:tcW w:w="1696" w:type="dxa"/>
          </w:tcPr>
          <w:p w14:paraId="2A35C78B" w14:textId="6B18F62F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Art 2 Ülevõtmine</w:t>
            </w:r>
          </w:p>
        </w:tc>
        <w:tc>
          <w:tcPr>
            <w:tcW w:w="1701" w:type="dxa"/>
          </w:tcPr>
          <w:p w14:paraId="2A35C78C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 Jah</w:t>
            </w:r>
          </w:p>
          <w:p w14:paraId="2A35C78D" w14:textId="1E0A5365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Ei</w:t>
            </w:r>
          </w:p>
        </w:tc>
        <w:tc>
          <w:tcPr>
            <w:tcW w:w="3684" w:type="dxa"/>
          </w:tcPr>
          <w:p w14:paraId="7263F748" w14:textId="5B73924F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Eelnõukohase seadusega </w:t>
            </w:r>
            <w:proofErr w:type="spellStart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6</w:t>
            </w:r>
            <w:r w:rsidR="00B96390" w:rsidRP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C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lisatavad 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lõiked 2</w:t>
            </w:r>
            <w:r w:rsidR="00B96390" w:rsidRP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ja 2</w:t>
            </w:r>
            <w:r w:rsidR="00B96390" w:rsidRP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A35C790" w14:textId="04B3DF6F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(2) - </w:t>
            </w:r>
          </w:p>
        </w:tc>
        <w:tc>
          <w:tcPr>
            <w:tcW w:w="3551" w:type="dxa"/>
          </w:tcPr>
          <w:p w14:paraId="2A35C791" w14:textId="06EA95A1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Võetakse üle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6</w:t>
            </w:r>
            <w:r w:rsidR="00B96390" w:rsidRP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lisatavate 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lõigetega 2</w:t>
            </w:r>
            <w:r w:rsidR="00B96390" w:rsidRP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ja 2</w:t>
            </w:r>
            <w:r w:rsidR="00B96390" w:rsidRP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D92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ITS direktiiviga on vastu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92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võetud prioriteetsed valdkonnad, millega Euroopa Komisjon hõlbustab liikmesriike tegema koostööd, et edendada intelligentsete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920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transpordisüsteemide ühtlustatud ja õigeaegset kasutuselevõttu Euroopa Liidus ning lihtsustada andmeliikide jagamist.</w:t>
            </w:r>
          </w:p>
          <w:p w14:paraId="2A35C792" w14:textId="005BC9C8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 KOM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teavitamine – koos direktiivi ülevõtmise teatega edastatakse õigusaktide tekstide lingid </w:t>
            </w:r>
            <w:proofErr w:type="spellStart"/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RTs</w:t>
            </w:r>
            <w:proofErr w:type="spellEnd"/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samuti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vastavustabel.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Tegemist on riikliku kohustusega andmeid esitada ja seda eraldi 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üle võtta pole vaja.</w:t>
            </w:r>
          </w:p>
        </w:tc>
      </w:tr>
      <w:tr w:rsidR="00BE6AE4" w:rsidRPr="00DA63EC" w14:paraId="2A35C799" w14:textId="77777777" w:rsidTr="0039498C">
        <w:trPr>
          <w:trHeight w:val="300"/>
        </w:trPr>
        <w:tc>
          <w:tcPr>
            <w:tcW w:w="1696" w:type="dxa"/>
          </w:tcPr>
          <w:p w14:paraId="2A35C794" w14:textId="1F30101E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Art 3 </w:t>
            </w:r>
            <w:r w:rsidR="003C0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J</w:t>
            </w: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õustumine</w:t>
            </w:r>
          </w:p>
        </w:tc>
        <w:tc>
          <w:tcPr>
            <w:tcW w:w="1701" w:type="dxa"/>
          </w:tcPr>
          <w:p w14:paraId="2A35C795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Ei</w:t>
            </w:r>
          </w:p>
        </w:tc>
        <w:tc>
          <w:tcPr>
            <w:tcW w:w="3684" w:type="dxa"/>
          </w:tcPr>
          <w:p w14:paraId="2A35C797" w14:textId="7F208C85" w:rsidR="00BE6AE4" w:rsidRPr="00DA63EC" w:rsidRDefault="00BE6AE4" w:rsidP="002035D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51" w:type="dxa"/>
          </w:tcPr>
          <w:p w14:paraId="2A35C798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Direktiiv jõustub 20. päeval pärast selle avaldamist Euroopa Liidu Teatajas.</w:t>
            </w:r>
          </w:p>
        </w:tc>
      </w:tr>
      <w:tr w:rsidR="00BE6AE4" w:rsidRPr="00DA63EC" w14:paraId="2A35C79F" w14:textId="77777777" w:rsidTr="0039498C">
        <w:trPr>
          <w:trHeight w:val="300"/>
        </w:trPr>
        <w:tc>
          <w:tcPr>
            <w:tcW w:w="1696" w:type="dxa"/>
          </w:tcPr>
          <w:p w14:paraId="2A35C79A" w14:textId="62088181" w:rsidR="00BE6AE4" w:rsidRPr="00DA63EC" w:rsidRDefault="005B56EE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</w:t>
            </w:r>
            <w:r w:rsidR="00BE6AE4"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isa Prioriteetsed valdkonnad</w:t>
            </w:r>
          </w:p>
        </w:tc>
        <w:tc>
          <w:tcPr>
            <w:tcW w:w="1701" w:type="dxa"/>
          </w:tcPr>
          <w:p w14:paraId="2A35C79B" w14:textId="7FBB10DB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Jah</w:t>
            </w:r>
          </w:p>
        </w:tc>
        <w:tc>
          <w:tcPr>
            <w:tcW w:w="3684" w:type="dxa"/>
          </w:tcPr>
          <w:p w14:paraId="2A35C79D" w14:textId="079E9596" w:rsidR="00BE6AE4" w:rsidRPr="00DA63EC" w:rsidRDefault="00B96390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Eelnõukohase seadusega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6</w:t>
            </w:r>
            <w:r w:rsidRP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lõige 2</w:t>
            </w:r>
            <w:r w:rsidRP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51" w:type="dxa"/>
          </w:tcPr>
          <w:p w14:paraId="2A35C79E" w14:textId="648DE88B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Direktiivi 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isa sisaldab artiklis 2 osutatud prioriteetsete valdkondade loetelu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3542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 w:rsidRPr="003542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6</w:t>
            </w:r>
            <w:r w:rsidRP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3542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B56EE" w:rsidRPr="003542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täiendatakse </w:t>
            </w:r>
            <w:r w:rsidRPr="003542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õikega</w:t>
            </w:r>
            <w:r w:rsidRPr="003542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milles viidatakse 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sellele lisale. Lisa Eesti õigusesse ümber kirjuta</w:t>
            </w:r>
            <w:r w:rsidR="005B5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ole selle detailsuse, tehnilise sisu ja mahu tõttu otstarbekas.</w:t>
            </w:r>
          </w:p>
        </w:tc>
      </w:tr>
      <w:tr w:rsidR="00BE6AE4" w:rsidRPr="00DA63EC" w14:paraId="2A35C7A5" w14:textId="77777777" w:rsidTr="0039498C">
        <w:trPr>
          <w:trHeight w:val="300"/>
        </w:trPr>
        <w:tc>
          <w:tcPr>
            <w:tcW w:w="1696" w:type="dxa"/>
          </w:tcPr>
          <w:p w14:paraId="2A35C7A0" w14:textId="60AE15CC" w:rsidR="00BE6AE4" w:rsidRPr="00DA63EC" w:rsidRDefault="005B56EE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II l</w:t>
            </w:r>
            <w:r w:rsidR="00BE6AE4"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isa </w:t>
            </w:r>
            <w:proofErr w:type="spellStart"/>
            <w:r w:rsidR="00BE6AE4"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Spetsifika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  <w:r w:rsidR="0039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="00BE6AE4"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sioonide</w:t>
            </w:r>
            <w:proofErr w:type="spellEnd"/>
            <w:r w:rsidR="00BE6AE4"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ja intelligentsete transpordi</w:t>
            </w:r>
            <w:r w:rsidR="0039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="00BE6AE4"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süsteemide kasutuselevõtmise põhimõtted</w:t>
            </w:r>
          </w:p>
        </w:tc>
        <w:tc>
          <w:tcPr>
            <w:tcW w:w="1701" w:type="dxa"/>
          </w:tcPr>
          <w:p w14:paraId="2A35C7A1" w14:textId="3210EE1C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Jah</w:t>
            </w:r>
          </w:p>
        </w:tc>
        <w:tc>
          <w:tcPr>
            <w:tcW w:w="3684" w:type="dxa"/>
          </w:tcPr>
          <w:p w14:paraId="2A35C7A3" w14:textId="04B95662" w:rsidR="00BE6AE4" w:rsidRPr="00DA63EC" w:rsidRDefault="00B96390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Eelnõukohase seadusega </w:t>
            </w:r>
            <w:proofErr w:type="spellStart"/>
            <w:r w:rsidRP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6</w:t>
            </w:r>
            <w:r w:rsidRPr="00B963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C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lisatavad</w:t>
            </w:r>
            <w:r w:rsidR="003C0317" w:rsidRP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õiked</w:t>
            </w:r>
            <w:r w:rsidRP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 ja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51" w:type="dxa"/>
          </w:tcPr>
          <w:p w14:paraId="2A35C7A4" w14:textId="4831198D" w:rsidR="00BE6AE4" w:rsidRPr="00DA63EC" w:rsidRDefault="005B56EE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II </w:t>
            </w:r>
            <w:r w:rsidR="003C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BE6AE4"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isa sätestab direktiivi artiklites 5</w:t>
            </w:r>
            <w:r w:rsidR="003C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="00BE6AE4"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 osutatud  spetsifikatsioonide ja intelligentsete transpordisüsteemide kasutuselevõtmise põhimõtteid.</w:t>
            </w:r>
            <w:r w:rsidR="00BE6AE4" w:rsidRPr="008301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LS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="00BE6AE4" w:rsidRPr="008301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§ 6</w:t>
            </w:r>
            <w:r w:rsidR="00BE6AE4" w:rsidRPr="00830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BE6AE4" w:rsidRPr="008301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C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lisatavas </w:t>
            </w:r>
            <w:r w:rsidR="00BE6AE4" w:rsidRPr="008301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õi</w:t>
            </w:r>
            <w:r w:rsidR="003C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kes</w:t>
            </w:r>
            <w:r w:rsidR="00BE6AE4" w:rsidRPr="008301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 </w:t>
            </w:r>
            <w:r w:rsidR="003949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sätestatakse</w:t>
            </w:r>
            <w:r w:rsidR="00BE6AE4" w:rsidRPr="008301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kohustus </w:t>
            </w:r>
            <w:r w:rsidR="00BE6AE4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intelligentse transpordisüsteemi ja teenuse väljatöötamisel ning kasutuselevõtmisel kohaldada nii kõnealust direktiivi kui </w:t>
            </w:r>
            <w:r w:rsidR="003C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ka </w:t>
            </w:r>
            <w:r w:rsidR="00BE6AE4" w:rsidRPr="007F21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selle alusel kehtestatavaid spetsifikatsioone. 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Lisa Eesti õigusesse ümber kirjuta</w:t>
            </w:r>
            <w:r w:rsidR="003C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</w:t>
            </w:r>
            <w:r w:rsidR="00B96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ei ole selle detailsuse, tehnilise sisu ja mahu tõttu otstarbekas.</w:t>
            </w:r>
          </w:p>
        </w:tc>
      </w:tr>
      <w:tr w:rsidR="00BE6AE4" w:rsidRPr="00DA63EC" w14:paraId="2A35C7AF" w14:textId="77777777" w:rsidTr="0039498C">
        <w:trPr>
          <w:trHeight w:val="300"/>
        </w:trPr>
        <w:tc>
          <w:tcPr>
            <w:tcW w:w="1696" w:type="dxa"/>
          </w:tcPr>
          <w:p w14:paraId="2A35C7A6" w14:textId="6D37A527" w:rsidR="00BE6AE4" w:rsidRPr="00DA63EC" w:rsidRDefault="003C0317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III l</w:t>
            </w:r>
            <w:r w:rsidR="00BE6AE4"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isa Andmeliikide loetelu</w:t>
            </w:r>
          </w:p>
        </w:tc>
        <w:tc>
          <w:tcPr>
            <w:tcW w:w="1701" w:type="dxa"/>
          </w:tcPr>
          <w:p w14:paraId="2A35C7A7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 Ei</w:t>
            </w:r>
          </w:p>
          <w:p w14:paraId="2A35C7A8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 Ei</w:t>
            </w:r>
          </w:p>
          <w:p w14:paraId="2A35C7A9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 Ei</w:t>
            </w:r>
          </w:p>
          <w:p w14:paraId="2A35C7AA" w14:textId="77777777" w:rsidR="00BE6AE4" w:rsidRPr="00DA63EC" w:rsidRDefault="00BE6AE4" w:rsidP="002035D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(4) Ei</w:t>
            </w:r>
          </w:p>
        </w:tc>
        <w:tc>
          <w:tcPr>
            <w:tcW w:w="3684" w:type="dxa"/>
          </w:tcPr>
          <w:p w14:paraId="2A35C7AC" w14:textId="41388223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51" w:type="dxa"/>
          </w:tcPr>
          <w:p w14:paraId="2A35C7AE" w14:textId="48A27D85" w:rsidR="00BE6AE4" w:rsidRPr="00DA63EC" w:rsidRDefault="00BE6AE4" w:rsidP="002035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Direktiivi </w:t>
            </w:r>
            <w:r w:rsidR="003C03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andmeliikide loetelu ja nende avalikuks tegemise tähta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jad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Sellisena on see otsekohalduv</w:t>
            </w:r>
            <w:r w:rsidR="003949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ning ei eelda otseselt rii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gisiseses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õiguses kajastamist.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Kohustus tuleneb üksnes liikmesriikidele.</w:t>
            </w:r>
          </w:p>
        </w:tc>
      </w:tr>
      <w:tr w:rsidR="00BE6AE4" w:rsidRPr="00DA63EC" w14:paraId="2A35C7B6" w14:textId="77777777" w:rsidTr="0039498C">
        <w:trPr>
          <w:trHeight w:val="300"/>
        </w:trPr>
        <w:tc>
          <w:tcPr>
            <w:tcW w:w="1696" w:type="dxa"/>
          </w:tcPr>
          <w:p w14:paraId="2A35C7B0" w14:textId="2750CB13" w:rsidR="00BE6AE4" w:rsidRPr="00DA63EC" w:rsidRDefault="003C0317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IV l</w:t>
            </w:r>
            <w:r w:rsidR="00BE6AE4"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isa Intelligentsete transpordi</w:t>
            </w:r>
            <w:r w:rsidR="00394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="00BE6AE4" w:rsidRPr="00DA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süsteemide teenuste loetelu</w:t>
            </w:r>
          </w:p>
        </w:tc>
        <w:tc>
          <w:tcPr>
            <w:tcW w:w="1701" w:type="dxa"/>
          </w:tcPr>
          <w:p w14:paraId="2A35C7B1" w14:textId="77777777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 Ei</w:t>
            </w:r>
          </w:p>
        </w:tc>
        <w:tc>
          <w:tcPr>
            <w:tcW w:w="3684" w:type="dxa"/>
          </w:tcPr>
          <w:p w14:paraId="2A35C7B3" w14:textId="28D99548" w:rsidR="00BE6AE4" w:rsidRPr="00DA63EC" w:rsidRDefault="00BE6AE4" w:rsidP="002035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51" w:type="dxa"/>
          </w:tcPr>
          <w:p w14:paraId="2A35C7B5" w14:textId="6592023B" w:rsidR="00BE6AE4" w:rsidRPr="00DA63EC" w:rsidRDefault="00BE6AE4" w:rsidP="002035D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 sätestatud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intelligentsete transpordisüsteemide teenuste loetelu ja nende avalikuks tegemise tähta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jad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Sellisena on see otsekohalduv ning ei eelda otseselt rii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gisiseses</w:t>
            </w:r>
            <w:r w:rsidRPr="00DA63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õiguses kajastamist.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Kohustus tuleneb üksnes liikmesriikidele.</w:t>
            </w:r>
          </w:p>
        </w:tc>
      </w:tr>
    </w:tbl>
    <w:p w14:paraId="2A35C7B7" w14:textId="77777777" w:rsidR="00DA63EC" w:rsidRPr="00DA63EC" w:rsidRDefault="00DA63EC" w:rsidP="002035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  <w14:ligatures w14:val="none"/>
        </w:rPr>
      </w:pPr>
    </w:p>
    <w:p w14:paraId="2A35C7B8" w14:textId="77777777" w:rsidR="00171598" w:rsidRDefault="00171598" w:rsidP="007A3872">
      <w:pPr>
        <w:spacing w:line="240" w:lineRule="auto"/>
      </w:pPr>
    </w:p>
    <w:sectPr w:rsidR="00171598" w:rsidSect="005E205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7826"/>
    <w:multiLevelType w:val="hybridMultilevel"/>
    <w:tmpl w:val="2D06BAD2"/>
    <w:lvl w:ilvl="0" w:tplc="AF58351A">
      <w:start w:val="1"/>
      <w:numFmt w:val="lowerLetter"/>
      <w:lvlText w:val="%1)"/>
      <w:lvlJc w:val="left"/>
      <w:pPr>
        <w:ind w:left="1020" w:hanging="360"/>
      </w:pPr>
    </w:lvl>
    <w:lvl w:ilvl="1" w:tplc="AD3E9320">
      <w:start w:val="1"/>
      <w:numFmt w:val="lowerLetter"/>
      <w:lvlText w:val="%2)"/>
      <w:lvlJc w:val="left"/>
      <w:pPr>
        <w:ind w:left="1020" w:hanging="360"/>
      </w:pPr>
    </w:lvl>
    <w:lvl w:ilvl="2" w:tplc="99B8CC0A">
      <w:start w:val="1"/>
      <w:numFmt w:val="lowerLetter"/>
      <w:lvlText w:val="%3)"/>
      <w:lvlJc w:val="left"/>
      <w:pPr>
        <w:ind w:left="1020" w:hanging="360"/>
      </w:pPr>
    </w:lvl>
    <w:lvl w:ilvl="3" w:tplc="350C7588">
      <w:start w:val="1"/>
      <w:numFmt w:val="lowerLetter"/>
      <w:lvlText w:val="%4)"/>
      <w:lvlJc w:val="left"/>
      <w:pPr>
        <w:ind w:left="1020" w:hanging="360"/>
      </w:pPr>
    </w:lvl>
    <w:lvl w:ilvl="4" w:tplc="7916D9C4">
      <w:start w:val="1"/>
      <w:numFmt w:val="lowerLetter"/>
      <w:lvlText w:val="%5)"/>
      <w:lvlJc w:val="left"/>
      <w:pPr>
        <w:ind w:left="1020" w:hanging="360"/>
      </w:pPr>
    </w:lvl>
    <w:lvl w:ilvl="5" w:tplc="B818F6C2">
      <w:start w:val="1"/>
      <w:numFmt w:val="lowerLetter"/>
      <w:lvlText w:val="%6)"/>
      <w:lvlJc w:val="left"/>
      <w:pPr>
        <w:ind w:left="1020" w:hanging="360"/>
      </w:pPr>
    </w:lvl>
    <w:lvl w:ilvl="6" w:tplc="0302A54C">
      <w:start w:val="1"/>
      <w:numFmt w:val="lowerLetter"/>
      <w:lvlText w:val="%7)"/>
      <w:lvlJc w:val="left"/>
      <w:pPr>
        <w:ind w:left="1020" w:hanging="360"/>
      </w:pPr>
    </w:lvl>
    <w:lvl w:ilvl="7" w:tplc="C2B2B08E">
      <w:start w:val="1"/>
      <w:numFmt w:val="lowerLetter"/>
      <w:lvlText w:val="%8)"/>
      <w:lvlJc w:val="left"/>
      <w:pPr>
        <w:ind w:left="1020" w:hanging="360"/>
      </w:pPr>
    </w:lvl>
    <w:lvl w:ilvl="8" w:tplc="DA429876">
      <w:start w:val="1"/>
      <w:numFmt w:val="lowerLetter"/>
      <w:lvlText w:val="%9)"/>
      <w:lvlJc w:val="left"/>
      <w:pPr>
        <w:ind w:left="1020" w:hanging="360"/>
      </w:pPr>
    </w:lvl>
  </w:abstractNum>
  <w:num w:numId="1" w16cid:durableId="87858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3B"/>
    <w:rsid w:val="000148C0"/>
    <w:rsid w:val="0009062E"/>
    <w:rsid w:val="000B209E"/>
    <w:rsid w:val="00135322"/>
    <w:rsid w:val="0014618C"/>
    <w:rsid w:val="0015400E"/>
    <w:rsid w:val="00171598"/>
    <w:rsid w:val="0017793C"/>
    <w:rsid w:val="00195046"/>
    <w:rsid w:val="001B24EC"/>
    <w:rsid w:val="002035DB"/>
    <w:rsid w:val="002325AA"/>
    <w:rsid w:val="00235EB5"/>
    <w:rsid w:val="002500AC"/>
    <w:rsid w:val="00254394"/>
    <w:rsid w:val="00255088"/>
    <w:rsid w:val="002759DD"/>
    <w:rsid w:val="002D20D8"/>
    <w:rsid w:val="002E0634"/>
    <w:rsid w:val="00305609"/>
    <w:rsid w:val="00354215"/>
    <w:rsid w:val="0039498C"/>
    <w:rsid w:val="003C0317"/>
    <w:rsid w:val="003D4E72"/>
    <w:rsid w:val="003F7468"/>
    <w:rsid w:val="004839BD"/>
    <w:rsid w:val="004B028E"/>
    <w:rsid w:val="004C743B"/>
    <w:rsid w:val="00556F9F"/>
    <w:rsid w:val="005B56EE"/>
    <w:rsid w:val="005E2059"/>
    <w:rsid w:val="00606BA3"/>
    <w:rsid w:val="00772B38"/>
    <w:rsid w:val="007A3872"/>
    <w:rsid w:val="007B3381"/>
    <w:rsid w:val="007F21F8"/>
    <w:rsid w:val="007F694A"/>
    <w:rsid w:val="008058A9"/>
    <w:rsid w:val="008C7AED"/>
    <w:rsid w:val="008E0121"/>
    <w:rsid w:val="008F5269"/>
    <w:rsid w:val="00925D15"/>
    <w:rsid w:val="00934D42"/>
    <w:rsid w:val="00946808"/>
    <w:rsid w:val="009A3CB2"/>
    <w:rsid w:val="009A49D1"/>
    <w:rsid w:val="009D7445"/>
    <w:rsid w:val="009F30C2"/>
    <w:rsid w:val="009F5414"/>
    <w:rsid w:val="00A1029A"/>
    <w:rsid w:val="00A4732F"/>
    <w:rsid w:val="00A80239"/>
    <w:rsid w:val="00B7103E"/>
    <w:rsid w:val="00B96390"/>
    <w:rsid w:val="00BB3374"/>
    <w:rsid w:val="00BD2C51"/>
    <w:rsid w:val="00BE6AE4"/>
    <w:rsid w:val="00CD05A3"/>
    <w:rsid w:val="00CE21F9"/>
    <w:rsid w:val="00CE615F"/>
    <w:rsid w:val="00D707CC"/>
    <w:rsid w:val="00D92021"/>
    <w:rsid w:val="00DA63EC"/>
    <w:rsid w:val="00DB615B"/>
    <w:rsid w:val="00DF149C"/>
    <w:rsid w:val="00DF5B3B"/>
    <w:rsid w:val="00E15699"/>
    <w:rsid w:val="00EA5E0C"/>
    <w:rsid w:val="00EC3A9D"/>
    <w:rsid w:val="00EF139A"/>
    <w:rsid w:val="00F90A5D"/>
    <w:rsid w:val="00FC6D56"/>
    <w:rsid w:val="00FE662E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C6D1"/>
  <w15:chartTrackingRefBased/>
  <w15:docId w15:val="{B6AAF68A-D5E2-4497-AABC-F8C12A54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4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4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4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4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43B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DA63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3EC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DA63EC"/>
    <w:rPr>
      <w:rFonts w:cs="Times New Roman"/>
      <w:sz w:val="16"/>
      <w:szCs w:val="16"/>
    </w:rPr>
  </w:style>
  <w:style w:type="table" w:customStyle="1" w:styleId="TableGridLight1">
    <w:name w:val="Table Grid Light1"/>
    <w:basedOn w:val="TableNormal"/>
    <w:next w:val="TableGridLight"/>
    <w:uiPriority w:val="40"/>
    <w:rsid w:val="00DA63EC"/>
    <w:pPr>
      <w:spacing w:after="0" w:line="240" w:lineRule="auto"/>
    </w:pPr>
    <w:rPr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DA63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8058A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8A9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8A9"/>
    <w:rPr>
      <w:rFonts w:ascii="Times New Roman" w:eastAsia="Times New Roman" w:hAnsi="Times New Roman" w:cs="Times New Roman"/>
      <w:b/>
      <w:bCs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755D-A029-4F51-B83E-19A88CE0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6208</TotalTime>
  <Pages>6</Pages>
  <Words>1676</Words>
  <Characters>9727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LS muutmise SK lisa 1</vt:lpstr>
      <vt:lpstr>LS muutmise SK lisa 1</vt:lpstr>
    </vt:vector>
  </TitlesOfParts>
  <Company>KeMIT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muutmise SK lisa 1</dc:title>
  <dc:subject/>
  <dc:creator>Enriko Laanemäe</dc:creator>
  <dc:description/>
  <cp:lastModifiedBy>Enriko Laanemäe</cp:lastModifiedBy>
  <cp:revision>21</cp:revision>
  <dcterms:created xsi:type="dcterms:W3CDTF">2025-02-28T12:27:00Z</dcterms:created>
  <dcterms:modified xsi:type="dcterms:W3CDTF">2025-07-15T11:32:00Z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2025-07-14T16:04:34Z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fd0b56e6-5f0b-41f7-a797-1d6edb8d91de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